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60" w:rsidRDefault="00A34F4D" w:rsidP="00C90A44">
      <w:pPr>
        <w:rPr>
          <w:b/>
          <w:sz w:val="36"/>
          <w:szCs w:val="36"/>
        </w:rPr>
      </w:pPr>
      <w:r w:rsidRPr="00A34F4D">
        <w:rPr>
          <w:b/>
          <w:sz w:val="36"/>
          <w:szCs w:val="36"/>
        </w:rPr>
        <w:t>Formation MCH2</w:t>
      </w:r>
    </w:p>
    <w:p w:rsidR="00436151" w:rsidRDefault="00436151" w:rsidP="00C90A44">
      <w:pPr>
        <w:rPr>
          <w:b/>
          <w:sz w:val="36"/>
          <w:szCs w:val="36"/>
        </w:rPr>
      </w:pPr>
    </w:p>
    <w:p w:rsidR="008963FF" w:rsidRDefault="008963FF" w:rsidP="00C90A44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PRINCIPE</w:t>
      </w:r>
    </w:p>
    <w:p w:rsidR="008963FF" w:rsidRPr="008963FF" w:rsidRDefault="008963FF" w:rsidP="00C90A44">
      <w:pPr>
        <w:rPr>
          <w:rFonts w:ascii="Segoe UI" w:hAnsi="Segoe UI" w:cs="Segoe UI"/>
          <w:b/>
        </w:rPr>
      </w:pPr>
    </w:p>
    <w:p w:rsidR="00436151" w:rsidRPr="008963FF" w:rsidRDefault="00C935D1" w:rsidP="00C90A44">
      <w:pPr>
        <w:rPr>
          <w:rFonts w:ascii="Segoe UI" w:hAnsi="Segoe UI" w:cs="Segoe UI"/>
        </w:rPr>
      </w:pPr>
      <w:r>
        <w:rPr>
          <w:rFonts w:ascii="Segoe UI" w:hAnsi="Segoe UI" w:cs="Segoe UI"/>
        </w:rPr>
        <w:t>7</w:t>
      </w:r>
      <w:r w:rsidR="00436151" w:rsidRPr="008963FF">
        <w:rPr>
          <w:rFonts w:ascii="Segoe UI" w:hAnsi="Segoe UI" w:cs="Segoe UI"/>
        </w:rPr>
        <w:t xml:space="preserve"> cessions de 45 minutes, avec participation</w:t>
      </w:r>
      <w:r w:rsidR="008963FF" w:rsidRPr="008963FF">
        <w:rPr>
          <w:rFonts w:ascii="Segoe UI" w:hAnsi="Segoe UI" w:cs="Segoe UI"/>
        </w:rPr>
        <w:t xml:space="preserve"> de représentants </w:t>
      </w:r>
      <w:r w:rsidR="00E211FD">
        <w:rPr>
          <w:rFonts w:ascii="Segoe UI" w:hAnsi="Segoe UI" w:cs="Segoe UI"/>
        </w:rPr>
        <w:t xml:space="preserve">de l’Association jurassienne des communes et/ ou </w:t>
      </w:r>
      <w:r w:rsidR="008963FF" w:rsidRPr="008963FF">
        <w:rPr>
          <w:rFonts w:ascii="Segoe UI" w:hAnsi="Segoe UI" w:cs="Segoe UI"/>
        </w:rPr>
        <w:t>de l’Etat</w:t>
      </w:r>
    </w:p>
    <w:p w:rsidR="008963FF" w:rsidRPr="008963FF" w:rsidRDefault="008963FF" w:rsidP="00C90A44">
      <w:pPr>
        <w:rPr>
          <w:rFonts w:ascii="Segoe UI" w:hAnsi="Segoe UI" w:cs="Segoe UI"/>
        </w:rPr>
      </w:pPr>
      <w:r w:rsidRPr="008963FF">
        <w:rPr>
          <w:rFonts w:ascii="Segoe UI" w:hAnsi="Segoe UI" w:cs="Segoe UI"/>
        </w:rPr>
        <w:t>Participant</w:t>
      </w:r>
      <w:r w:rsidR="001F75E0">
        <w:rPr>
          <w:rFonts w:ascii="Segoe UI" w:hAnsi="Segoe UI" w:cs="Segoe UI"/>
        </w:rPr>
        <w:t>s : élus communaux / caissier - responsable</w:t>
      </w:r>
      <w:r w:rsidRPr="008963FF">
        <w:rPr>
          <w:rFonts w:ascii="Segoe UI" w:hAnsi="Segoe UI" w:cs="Segoe UI"/>
        </w:rPr>
        <w:t xml:space="preserve"> financier communal</w:t>
      </w:r>
    </w:p>
    <w:p w:rsidR="008963FF" w:rsidRDefault="008963FF" w:rsidP="008963FF">
      <w:pPr>
        <w:rPr>
          <w:rFonts w:ascii="Segoe UI" w:hAnsi="Segoe UI" w:cs="Segoe UI"/>
        </w:rPr>
      </w:pPr>
      <w:r w:rsidRPr="008963FF">
        <w:rPr>
          <w:rFonts w:ascii="Segoe UI" w:hAnsi="Segoe UI" w:cs="Segoe UI"/>
        </w:rPr>
        <w:t>Possibilité de participer à un module ou à plusieurs</w:t>
      </w:r>
    </w:p>
    <w:p w:rsidR="00C935D1" w:rsidRDefault="00C935D1" w:rsidP="008963FF">
      <w:pPr>
        <w:rPr>
          <w:rFonts w:ascii="Segoe UI" w:hAnsi="Segoe UI" w:cs="Segoe UI"/>
        </w:rPr>
      </w:pPr>
    </w:p>
    <w:p w:rsidR="00C935D1" w:rsidRDefault="00C935D1" w:rsidP="00C93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>Module 0 Nouvelles prescriptions cantonales</w:t>
      </w:r>
    </w:p>
    <w:p w:rsidR="00C935D1" w:rsidRDefault="00C935D1" w:rsidP="00C935D1">
      <w:pPr>
        <w:rPr>
          <w:rFonts w:cs="Arial"/>
        </w:rPr>
      </w:pPr>
    </w:p>
    <w:p w:rsidR="00C935D1" w:rsidRDefault="00C935D1" w:rsidP="00C935D1">
      <w:pPr>
        <w:rPr>
          <w:rFonts w:cs="Arial"/>
        </w:rPr>
      </w:pPr>
      <w:r>
        <w:rPr>
          <w:rFonts w:cs="Arial"/>
        </w:rPr>
        <w:t>Révision totale du Décret concernant l’administration financière des communes</w:t>
      </w:r>
    </w:p>
    <w:p w:rsidR="00C935D1" w:rsidRDefault="00647F47" w:rsidP="00C935D1">
      <w:pPr>
        <w:ind w:left="284"/>
        <w:rPr>
          <w:rFonts w:cs="Arial"/>
        </w:rPr>
      </w:pPr>
      <w:r>
        <w:rPr>
          <w:rFonts w:cs="Arial"/>
        </w:rPr>
        <w:t>Présentation</w:t>
      </w:r>
      <w:r w:rsidR="00C935D1">
        <w:rPr>
          <w:rFonts w:cs="Arial"/>
        </w:rPr>
        <w:t xml:space="preserve"> et commentaires</w:t>
      </w:r>
      <w:bookmarkStart w:id="0" w:name="_GoBack"/>
      <w:bookmarkEnd w:id="0"/>
    </w:p>
    <w:p w:rsidR="00C935D1" w:rsidRDefault="00C935D1" w:rsidP="008963FF">
      <w:pPr>
        <w:rPr>
          <w:rFonts w:ascii="Segoe UI" w:hAnsi="Segoe UI" w:cs="Segoe UI"/>
        </w:rPr>
      </w:pPr>
    </w:p>
    <w:p w:rsidR="00436151" w:rsidRDefault="00436151" w:rsidP="0043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>Module 1 Différents thèmes</w:t>
      </w:r>
    </w:p>
    <w:p w:rsidR="00436151" w:rsidRDefault="00436151" w:rsidP="00436151">
      <w:pPr>
        <w:rPr>
          <w:rFonts w:cs="Arial"/>
        </w:rPr>
      </w:pP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Informations générales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Bref historique MCH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Principales nouveautés du MCH2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Entrée en vigueur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Champ d'application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(Non) Consolidation</w:t>
      </w:r>
    </w:p>
    <w:p w:rsidR="00436151" w:rsidRDefault="00436151" w:rsidP="00436151">
      <w:pPr>
        <w:ind w:left="709" w:hanging="142"/>
        <w:rPr>
          <w:rFonts w:cs="Arial"/>
        </w:rPr>
      </w:pPr>
      <w:r>
        <w:rPr>
          <w:rFonts w:cs="Arial"/>
        </w:rPr>
        <w:t>Première application : retraitements</w:t>
      </w: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Règles fondamentales et principes généraux</w:t>
      </w: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Composition des comptes annuels</w:t>
      </w: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Compte de résultats</w:t>
      </w:r>
    </w:p>
    <w:p w:rsidR="00436151" w:rsidRDefault="00436151" w:rsidP="00436151">
      <w:pPr>
        <w:ind w:left="1276" w:hanging="709"/>
        <w:rPr>
          <w:rFonts w:cs="Arial"/>
        </w:rPr>
      </w:pPr>
      <w:r>
        <w:rPr>
          <w:rFonts w:cs="Arial"/>
        </w:rPr>
        <w:t>Présentation échelonnée du résultat</w:t>
      </w:r>
    </w:p>
    <w:p w:rsidR="00436151" w:rsidRDefault="00436151" w:rsidP="00436151">
      <w:pPr>
        <w:ind w:left="1276" w:hanging="709"/>
        <w:rPr>
          <w:rFonts w:cs="Arial"/>
        </w:rPr>
      </w:pPr>
      <w:r>
        <w:rPr>
          <w:rFonts w:cs="Arial"/>
        </w:rPr>
        <w:t>Eléments extraordinaires</w:t>
      </w:r>
    </w:p>
    <w:p w:rsidR="00436151" w:rsidRDefault="00436151" w:rsidP="00436151">
      <w:pPr>
        <w:ind w:left="1276" w:hanging="709"/>
        <w:rPr>
          <w:rFonts w:cs="Arial"/>
        </w:rPr>
      </w:pPr>
      <w:r>
        <w:rPr>
          <w:rFonts w:cs="Arial"/>
        </w:rPr>
        <w:t>Vote des comptes et des budgets</w:t>
      </w: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Plan comptable</w:t>
      </w:r>
    </w:p>
    <w:p w:rsidR="00436151" w:rsidRDefault="00436151" w:rsidP="00436151">
      <w:pPr>
        <w:pStyle w:val="Paragraphedeliste"/>
        <w:widowControl w:val="0"/>
        <w:numPr>
          <w:ilvl w:val="0"/>
          <w:numId w:val="29"/>
        </w:numPr>
        <w:rPr>
          <w:rFonts w:cs="Arial"/>
        </w:rPr>
      </w:pPr>
      <w:r>
        <w:rPr>
          <w:rFonts w:cs="Arial"/>
        </w:rPr>
        <w:t>Révision des comptes</w:t>
      </w:r>
    </w:p>
    <w:p w:rsidR="00436151" w:rsidRDefault="00436151" w:rsidP="00C90A44"/>
    <w:p w:rsidR="00436151" w:rsidRDefault="00436151" w:rsidP="0043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1" w:name="_Toc440636942"/>
      <w:r>
        <w:rPr>
          <w:b/>
          <w:bCs/>
          <w:sz w:val="28"/>
          <w:szCs w:val="28"/>
        </w:rPr>
        <w:t>Module 2 Patrimoine administratif (PA)</w:t>
      </w:r>
    </w:p>
    <w:p w:rsidR="00436151" w:rsidRDefault="00436151" w:rsidP="00436151">
      <w:pPr>
        <w:rPr>
          <w:rFonts w:cs="Arial"/>
        </w:rPr>
      </w:pPr>
    </w:p>
    <w:p w:rsidR="00436151" w:rsidRDefault="00436151" w:rsidP="00436151">
      <w:pPr>
        <w:rPr>
          <w:rFonts w:cs="Arial"/>
        </w:rPr>
      </w:pPr>
      <w:r>
        <w:rPr>
          <w:rFonts w:cs="Arial"/>
        </w:rPr>
        <w:t>Définition du patrimoine administratif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Distinction entre le PA et le PF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Compte des investissements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Crédits d'engagement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Crédits complémentaires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Clôture des crédits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Règles d'activation des investissements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Enregistrement initial des investissements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Amortissements des investissements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Définition des amortissements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Méthode d'amortissement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Durée d'amortissement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Période d'amortissement (début)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Les crédits d'étude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Autres amortissements : Amortissements non planifiés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Autres amortissements : Amortissements complémentaires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Subventions d'investissement reçues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lastRenderedPageBreak/>
        <w:t>Transfert du PA au PF (et cession d'immobilisation)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Transfert du PF au PA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Préfinancements propres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Module informatique de comptabilité des immobilisations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Tableaux des immobilisations</w:t>
      </w:r>
    </w:p>
    <w:p w:rsidR="00C935D1" w:rsidRDefault="00C935D1" w:rsidP="00436151">
      <w:pPr>
        <w:rPr>
          <w:rFonts w:cs="Arial"/>
        </w:rPr>
      </w:pPr>
    </w:p>
    <w:p w:rsidR="00436151" w:rsidRDefault="00436151" w:rsidP="0043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2" w:name="_Toc440636943"/>
      <w:bookmarkEnd w:id="1"/>
      <w:r>
        <w:rPr>
          <w:b/>
          <w:bCs/>
          <w:sz w:val="28"/>
          <w:szCs w:val="28"/>
        </w:rPr>
        <w:t>Module 3 Patrimoine financier (PF)</w:t>
      </w:r>
    </w:p>
    <w:p w:rsidR="00436151" w:rsidRDefault="00436151" w:rsidP="00436151">
      <w:pPr>
        <w:rPr>
          <w:rFonts w:cs="Arial"/>
        </w:rPr>
      </w:pPr>
    </w:p>
    <w:p w:rsidR="00436151" w:rsidRDefault="00436151" w:rsidP="00436151">
      <w:pPr>
        <w:rPr>
          <w:rFonts w:cs="Arial"/>
        </w:rPr>
      </w:pPr>
      <w:r>
        <w:rPr>
          <w:rFonts w:cs="Arial"/>
        </w:rPr>
        <w:t>Patrimoine financier : définition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Crédits d'engagement (et complémentaires)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Immobilisations corporelles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Rappels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Rappels tableau des immobilisations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Passage au MCH2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Valeur de remplacement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Nouvelles acquisitions (après le 1.1.2018)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Dépenses postérieures à l'acquisition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Réévaluations périodiques</w:t>
      </w:r>
    </w:p>
    <w:p w:rsidR="00436151" w:rsidRDefault="00436151" w:rsidP="00436151">
      <w:pPr>
        <w:ind w:left="567"/>
        <w:rPr>
          <w:rFonts w:cs="Arial"/>
        </w:rPr>
      </w:pPr>
      <w:r>
        <w:rPr>
          <w:rFonts w:cs="Arial"/>
        </w:rPr>
        <w:t>Périodicité</w:t>
      </w:r>
    </w:p>
    <w:p w:rsidR="00436151" w:rsidRDefault="00436151" w:rsidP="00436151">
      <w:pPr>
        <w:ind w:left="567"/>
        <w:rPr>
          <w:rFonts w:cs="Arial"/>
        </w:rPr>
      </w:pPr>
      <w:r>
        <w:rPr>
          <w:rFonts w:cs="Arial"/>
        </w:rPr>
        <w:t>Comptabilisation</w:t>
      </w:r>
    </w:p>
    <w:p w:rsidR="00436151" w:rsidRDefault="00436151" w:rsidP="00436151">
      <w:pPr>
        <w:ind w:left="567"/>
        <w:rPr>
          <w:rFonts w:cs="Arial"/>
        </w:rPr>
      </w:pPr>
      <w:r>
        <w:rPr>
          <w:rFonts w:cs="Arial"/>
        </w:rPr>
        <w:t>Diminution durable entre deux réévaluations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Installations en construction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Cession de l'immobilisation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Rendements des biens fonds du PF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Financements spéciaux des immeubles locatifs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Réserves légales sur les immeubles locatifs subventionnés</w:t>
      </w:r>
    </w:p>
    <w:p w:rsidR="00436151" w:rsidRDefault="00436151" w:rsidP="00436151">
      <w:pPr>
        <w:rPr>
          <w:rFonts w:cs="Arial"/>
        </w:rPr>
      </w:pPr>
      <w:r>
        <w:rPr>
          <w:rFonts w:cs="Arial"/>
        </w:rPr>
        <w:t>Autres biens du PF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Disponibilités et placements à court terme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Créances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Placements financiers à court terme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Marchandises, fournitures et travaux en cours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Placements financiers</w:t>
      </w:r>
    </w:p>
    <w:p w:rsidR="00436151" w:rsidRDefault="00436151" w:rsidP="00436151">
      <w:pPr>
        <w:ind w:left="284"/>
        <w:rPr>
          <w:rFonts w:cs="Arial"/>
        </w:rPr>
      </w:pPr>
      <w:r>
        <w:rPr>
          <w:rFonts w:cs="Arial"/>
        </w:rPr>
        <w:t>Récapitulatif évaluation</w:t>
      </w:r>
    </w:p>
    <w:bookmarkEnd w:id="2"/>
    <w:p w:rsidR="00436151" w:rsidRDefault="00436151" w:rsidP="00C90A44"/>
    <w:p w:rsidR="00A34F4D" w:rsidRDefault="00A34F4D" w:rsidP="00C90A44"/>
    <w:p w:rsidR="00A34F4D" w:rsidRPr="00A34F4D" w:rsidRDefault="00A34F4D" w:rsidP="00A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34F4D">
        <w:rPr>
          <w:b/>
          <w:bCs/>
          <w:sz w:val="28"/>
          <w:szCs w:val="28"/>
        </w:rPr>
        <w:t>Module 4 : Provisions, passifs (actifs) régularisation, engagements hors bilan</w:t>
      </w:r>
    </w:p>
    <w:p w:rsidR="00A34F4D" w:rsidRDefault="00A34F4D" w:rsidP="00C90A44">
      <w:pPr>
        <w:rPr>
          <w:b/>
          <w:bCs/>
        </w:rPr>
      </w:pPr>
    </w:p>
    <w:p w:rsidR="00A34F4D" w:rsidRPr="00A34F4D" w:rsidRDefault="00A34F4D" w:rsidP="00A34F4D">
      <w:pPr>
        <w:rPr>
          <w:b/>
          <w:bCs/>
        </w:rPr>
      </w:pPr>
      <w:r>
        <w:tab/>
      </w:r>
      <w:r>
        <w:rPr>
          <w:b/>
          <w:bCs/>
        </w:rPr>
        <w:t>Provisions</w:t>
      </w:r>
    </w:p>
    <w:p w:rsidR="00A34F4D" w:rsidRDefault="00A34F4D" w:rsidP="00C90A44">
      <w:r>
        <w:tab/>
      </w:r>
      <w:r w:rsidRPr="00A34F4D">
        <w:t>Définition provision avec les critères</w:t>
      </w:r>
    </w:p>
    <w:p w:rsidR="00A34F4D" w:rsidRDefault="00A34F4D" w:rsidP="00C90A44">
      <w:r>
        <w:tab/>
      </w:r>
      <w:r w:rsidRPr="00A34F4D">
        <w:t>Comptabilisation provision (création, utilisation, dissolution)</w:t>
      </w:r>
    </w:p>
    <w:p w:rsidR="00A34F4D" w:rsidRDefault="00A34F4D" w:rsidP="00C90A44">
      <w:r>
        <w:tab/>
      </w:r>
      <w:r w:rsidRPr="00A34F4D">
        <w:t>Provisions fiscales : critères et présentation au bilan</w:t>
      </w:r>
    </w:p>
    <w:p w:rsidR="00A34F4D" w:rsidRDefault="00A34F4D" w:rsidP="00C90A44">
      <w:r>
        <w:tab/>
      </w:r>
      <w:r w:rsidRPr="00A34F4D">
        <w:t>Tableau des provisions</w:t>
      </w:r>
    </w:p>
    <w:p w:rsidR="00A34F4D" w:rsidRDefault="00A34F4D" w:rsidP="00C90A44"/>
    <w:p w:rsidR="00A34F4D" w:rsidRDefault="00A34F4D" w:rsidP="00C90A44">
      <w:r>
        <w:tab/>
      </w:r>
      <w:r>
        <w:rPr>
          <w:b/>
          <w:bCs/>
        </w:rPr>
        <w:t>P</w:t>
      </w:r>
      <w:r w:rsidRPr="00A34F4D">
        <w:rPr>
          <w:b/>
          <w:bCs/>
        </w:rPr>
        <w:t>assifs (actifs) régularisation</w:t>
      </w:r>
    </w:p>
    <w:p w:rsidR="00A34F4D" w:rsidRDefault="00A34F4D" w:rsidP="00C90A44">
      <w:r>
        <w:tab/>
      </w:r>
      <w:r w:rsidRPr="00A34F4D">
        <w:t>Passifs (actifs) de régularisation : définition, comptabilisation et extourne</w:t>
      </w:r>
    </w:p>
    <w:p w:rsidR="00A34F4D" w:rsidRDefault="00A34F4D" w:rsidP="00C90A44">
      <w:r>
        <w:tab/>
      </w:r>
      <w:r w:rsidRPr="00A34F4D">
        <w:t>Distinction provisions, passifs régularisation et engagements courants</w:t>
      </w:r>
    </w:p>
    <w:p w:rsidR="00A34F4D" w:rsidRDefault="00A34F4D" w:rsidP="00C90A44"/>
    <w:p w:rsidR="00A34F4D" w:rsidRDefault="00A34F4D" w:rsidP="00C90A44">
      <w:pPr>
        <w:rPr>
          <w:b/>
          <w:bCs/>
        </w:rPr>
      </w:pPr>
      <w:r>
        <w:tab/>
      </w:r>
      <w:r>
        <w:rPr>
          <w:b/>
          <w:bCs/>
        </w:rPr>
        <w:t>E</w:t>
      </w:r>
      <w:r w:rsidRPr="00A34F4D">
        <w:rPr>
          <w:b/>
          <w:bCs/>
        </w:rPr>
        <w:t>ngagements hors bilan</w:t>
      </w:r>
    </w:p>
    <w:p w:rsidR="00A34F4D" w:rsidRDefault="00A34F4D" w:rsidP="00C90A44">
      <w:r>
        <w:rPr>
          <w:b/>
          <w:bCs/>
        </w:rPr>
        <w:tab/>
      </w:r>
      <w:r w:rsidRPr="00A34F4D">
        <w:t>Engagements hors bilan : définition, tableau à présenter</w:t>
      </w:r>
    </w:p>
    <w:p w:rsidR="00A34F4D" w:rsidRDefault="00A34F4D" w:rsidP="00C90A44">
      <w:r>
        <w:tab/>
      </w:r>
      <w:r w:rsidRPr="00A34F4D">
        <w:t>Engagements hors bilan : caisses de pension (CAP)</w:t>
      </w:r>
    </w:p>
    <w:p w:rsidR="00A34F4D" w:rsidRDefault="00A34F4D" w:rsidP="00C90A44"/>
    <w:p w:rsidR="00436151" w:rsidRDefault="00436151" w:rsidP="0043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 5: Tableau des flux de trésorerie</w:t>
      </w:r>
    </w:p>
    <w:p w:rsidR="00436151" w:rsidRDefault="00436151" w:rsidP="00436151">
      <w:pPr>
        <w:pStyle w:val="Default"/>
        <w:rPr>
          <w:b/>
          <w:bCs/>
          <w:sz w:val="28"/>
          <w:szCs w:val="28"/>
        </w:rPr>
      </w:pPr>
    </w:p>
    <w:p w:rsidR="00436151" w:rsidRDefault="00436151" w:rsidP="00436151">
      <w:pPr>
        <w:ind w:firstLine="708"/>
        <w:rPr>
          <w:b/>
          <w:bCs/>
        </w:rPr>
      </w:pPr>
      <w:r>
        <w:rPr>
          <w:b/>
          <w:bCs/>
        </w:rPr>
        <w:t>Tableau des flux de trésorerie : définition, but</w:t>
      </w:r>
    </w:p>
    <w:p w:rsidR="00436151" w:rsidRDefault="00436151" w:rsidP="00436151">
      <w:pPr>
        <w:rPr>
          <w:b/>
          <w:bCs/>
        </w:rPr>
      </w:pPr>
      <w:r>
        <w:rPr>
          <w:b/>
          <w:bCs/>
        </w:rPr>
        <w:tab/>
        <w:t>Tableau des flux de trésorerie : exemple de cas</w:t>
      </w:r>
    </w:p>
    <w:p w:rsidR="008963FF" w:rsidRDefault="008963FF" w:rsidP="00436151">
      <w:pPr>
        <w:rPr>
          <w:b/>
          <w:bCs/>
        </w:rPr>
      </w:pPr>
    </w:p>
    <w:p w:rsidR="00436151" w:rsidRDefault="00436151" w:rsidP="00436151"/>
    <w:p w:rsidR="00436151" w:rsidRDefault="00436151" w:rsidP="00436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sz w:val="28"/>
          <w:szCs w:val="28"/>
        </w:rPr>
        <w:t>Module 6 Annexes aux comptes annuels (suite)</w:t>
      </w:r>
    </w:p>
    <w:p w:rsidR="00436151" w:rsidRDefault="00436151" w:rsidP="00436151">
      <w:pPr>
        <w:rPr>
          <w:b/>
          <w:bCs/>
        </w:rPr>
      </w:pPr>
      <w:r>
        <w:rPr>
          <w:b/>
          <w:bCs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2"/>
      </w:tblGrid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Annexe aux comptes : Buts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Textes pour les règles et principes comptables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Etat du capital propre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Tableau des provisions (succinct, déjà discuté avant)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Tableau des participations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Tableau des garanties (succinct, déjà discuté avant)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Tableau des immobilisations (succinct, déjà discuté avant)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Explications sur les crédits d'engagements ouverts depuis plus de 5 ans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Indications supplémentaires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Indicateurs financiers</w:t>
            </w:r>
          </w:p>
        </w:tc>
      </w:tr>
      <w:tr w:rsidR="00436151" w:rsidTr="00436151">
        <w:trPr>
          <w:trHeight w:val="266"/>
        </w:trPr>
        <w:tc>
          <w:tcPr>
            <w:tcW w:w="8482" w:type="dxa"/>
            <w:noWrap/>
            <w:hideMark/>
          </w:tcPr>
          <w:p w:rsidR="00436151" w:rsidRDefault="00436151" w:rsidP="00436151">
            <w:pPr>
              <w:pStyle w:val="Paragraphedeliste"/>
              <w:numPr>
                <w:ilvl w:val="0"/>
                <w:numId w:val="28"/>
              </w:numPr>
              <w:rPr>
                <w:bCs/>
              </w:rPr>
            </w:pPr>
            <w:r>
              <w:rPr>
                <w:bCs/>
              </w:rPr>
              <w:t>Crédits budgétaires supplémentaires</w:t>
            </w:r>
          </w:p>
        </w:tc>
      </w:tr>
    </w:tbl>
    <w:p w:rsidR="00D56D55" w:rsidRPr="00891AFB" w:rsidRDefault="00D56D55" w:rsidP="00D56D55">
      <w:pPr>
        <w:pStyle w:val="Default"/>
        <w:rPr>
          <w:sz w:val="20"/>
          <w:szCs w:val="20"/>
        </w:rPr>
      </w:pPr>
    </w:p>
    <w:sectPr w:rsidR="00D56D55" w:rsidRPr="00891AFB" w:rsidSect="00D7603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A38D0"/>
    <w:multiLevelType w:val="hybridMultilevel"/>
    <w:tmpl w:val="D6A4EE5E"/>
    <w:lvl w:ilvl="0" w:tplc="639A7B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B7172"/>
    <w:multiLevelType w:val="hybridMultilevel"/>
    <w:tmpl w:val="F6B058A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562F"/>
    <w:multiLevelType w:val="hybridMultilevel"/>
    <w:tmpl w:val="1884F7D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076D1"/>
    <w:multiLevelType w:val="hybridMultilevel"/>
    <w:tmpl w:val="28163536"/>
    <w:lvl w:ilvl="0" w:tplc="176AC1E6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252636"/>
    <w:multiLevelType w:val="hybridMultilevel"/>
    <w:tmpl w:val="6AC6BCE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01C"/>
    <w:multiLevelType w:val="hybridMultilevel"/>
    <w:tmpl w:val="EA80BD34"/>
    <w:lvl w:ilvl="0" w:tplc="AC2218F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34C08"/>
    <w:multiLevelType w:val="hybridMultilevel"/>
    <w:tmpl w:val="9BC671B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3508A"/>
    <w:multiLevelType w:val="hybridMultilevel"/>
    <w:tmpl w:val="C2283520"/>
    <w:lvl w:ilvl="0" w:tplc="E69C870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A387D"/>
    <w:multiLevelType w:val="hybridMultilevel"/>
    <w:tmpl w:val="F1526070"/>
    <w:lvl w:ilvl="0" w:tplc="10725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B2D98"/>
    <w:multiLevelType w:val="hybridMultilevel"/>
    <w:tmpl w:val="CE60D6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D49D1"/>
    <w:multiLevelType w:val="hybridMultilevel"/>
    <w:tmpl w:val="077A20A0"/>
    <w:lvl w:ilvl="0" w:tplc="3110B72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3460B"/>
    <w:multiLevelType w:val="hybridMultilevel"/>
    <w:tmpl w:val="05EC84CA"/>
    <w:lvl w:ilvl="0" w:tplc="100C0015">
      <w:start w:val="1"/>
      <w:numFmt w:val="upperLetter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3640EA"/>
    <w:multiLevelType w:val="hybridMultilevel"/>
    <w:tmpl w:val="10640E6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54DA2"/>
    <w:multiLevelType w:val="hybridMultilevel"/>
    <w:tmpl w:val="2A5C7D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8B2A1B"/>
    <w:multiLevelType w:val="hybridMultilevel"/>
    <w:tmpl w:val="255A3A7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A2056"/>
    <w:multiLevelType w:val="hybridMultilevel"/>
    <w:tmpl w:val="7EC011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11"/>
  </w:num>
  <w:num w:numId="17">
    <w:abstractNumId w:val="21"/>
  </w:num>
  <w:num w:numId="18">
    <w:abstractNumId w:val="19"/>
  </w:num>
  <w:num w:numId="19">
    <w:abstractNumId w:val="27"/>
  </w:num>
  <w:num w:numId="20">
    <w:abstractNumId w:val="10"/>
  </w:num>
  <w:num w:numId="21">
    <w:abstractNumId w:val="25"/>
  </w:num>
  <w:num w:numId="22">
    <w:abstractNumId w:val="17"/>
  </w:num>
  <w:num w:numId="23">
    <w:abstractNumId w:val="12"/>
  </w:num>
  <w:num w:numId="24">
    <w:abstractNumId w:val="13"/>
  </w:num>
  <w:num w:numId="25">
    <w:abstractNumId w:val="28"/>
  </w:num>
  <w:num w:numId="26">
    <w:abstractNumId w:val="22"/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4D"/>
    <w:rsid w:val="00071235"/>
    <w:rsid w:val="000C73E0"/>
    <w:rsid w:val="0013656C"/>
    <w:rsid w:val="001F75E0"/>
    <w:rsid w:val="00302117"/>
    <w:rsid w:val="00323358"/>
    <w:rsid w:val="00342F7E"/>
    <w:rsid w:val="00436151"/>
    <w:rsid w:val="00440BF6"/>
    <w:rsid w:val="00647F47"/>
    <w:rsid w:val="00657974"/>
    <w:rsid w:val="006804F8"/>
    <w:rsid w:val="006B3802"/>
    <w:rsid w:val="006E1A52"/>
    <w:rsid w:val="00726F0C"/>
    <w:rsid w:val="00863C47"/>
    <w:rsid w:val="00891AFB"/>
    <w:rsid w:val="008963FF"/>
    <w:rsid w:val="00A34F4D"/>
    <w:rsid w:val="00A46883"/>
    <w:rsid w:val="00A658A8"/>
    <w:rsid w:val="00B06165"/>
    <w:rsid w:val="00B106DA"/>
    <w:rsid w:val="00B65436"/>
    <w:rsid w:val="00BF49C4"/>
    <w:rsid w:val="00C90A44"/>
    <w:rsid w:val="00C935D1"/>
    <w:rsid w:val="00C94F38"/>
    <w:rsid w:val="00CD4ECF"/>
    <w:rsid w:val="00D56D55"/>
    <w:rsid w:val="00D6243C"/>
    <w:rsid w:val="00D7603C"/>
    <w:rsid w:val="00DB5FF4"/>
    <w:rsid w:val="00E211FD"/>
    <w:rsid w:val="00F30C35"/>
    <w:rsid w:val="00F36260"/>
    <w:rsid w:val="00F43ADB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1A2D2E"/>
  <w15:docId w15:val="{4165A55D-C57B-45CB-99D4-EE48BFB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A3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F4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0211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0712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7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0193-B106-48D3-9C17-9655CBB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Xuan Khanh (DIME)</dc:creator>
  <cp:lastModifiedBy>Pierroz Philippe</cp:lastModifiedBy>
  <cp:revision>7</cp:revision>
  <cp:lastPrinted>2017-03-16T09:22:00Z</cp:lastPrinted>
  <dcterms:created xsi:type="dcterms:W3CDTF">2017-04-04T07:21:00Z</dcterms:created>
  <dcterms:modified xsi:type="dcterms:W3CDTF">2017-11-07T13:30:00Z</dcterms:modified>
</cp:coreProperties>
</file>